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419" w:leader="none"/>
        </w:tabs>
        <w:suppressAutoHyphens w:val="true"/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>
        <w:rPr>
          <w:rFonts w:cs="Calibri"/>
          <w:b/>
          <w:sz w:val="24"/>
          <w:szCs w:val="24"/>
          <w:lang w:eastAsia="ar-SA"/>
        </w:rPr>
        <w:t>08</w:t>
      </w:r>
      <w:r>
        <w:rPr>
          <w:rFonts w:cs="Calibri"/>
          <w:b/>
          <w:sz w:val="24"/>
          <w:szCs w:val="24"/>
          <w:lang w:eastAsia="ar-SA"/>
        </w:rPr>
        <w:t>/2015</w:t>
      </w:r>
      <w:r/>
    </w:p>
    <w:p>
      <w:pPr>
        <w:pStyle w:val="Normal"/>
        <w:spacing w:lineRule="auto" w:line="360" w:before="360" w:after="120"/>
        <w:ind w:left="3544" w:hanging="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DETRAN-SP.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2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), no período de 01 de outubro de 2015 a 30 de outubro de 2015.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Objeto</w:t>
      </w:r>
      <w:r/>
    </w:p>
    <w:p>
      <w:pPr>
        <w:pStyle w:val="ListParagrap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bookmarkStart w:id="1" w:name="__DdeLink__481_1069359258"/>
      <w:r>
        <w:rPr>
          <w:rFonts w:cs="Calibri"/>
          <w:sz w:val="24"/>
          <w:szCs w:val="24"/>
        </w:rPr>
        <w:t>Piracicaba, Rio das Pedras, São Pedro, Capivari, Rafard</w:t>
      </w:r>
      <w:bookmarkEnd w:id="1"/>
      <w:r>
        <w:rPr>
          <w:rFonts w:cs="Calibri"/>
          <w:sz w:val="24"/>
          <w:szCs w:val="24"/>
        </w:rPr>
        <w:t xml:space="preserve"> e seções de trânsito vinculadas.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arts. 65 a 75 da Lei n. 10.261/68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Os credenciados serão convocados para prestar serviços em Piracicaba, Rio das Pedras, São Pedro, Capivari, Rafard 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Condições de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curso superior completo;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Possuir Carteira Nacional de Habilitação – CNH há no mínimo 2 (dois) anos e registrada atualmente no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1068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Inscrição e documentos para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3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CNH;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credencial expedida pelo DETRAN-SP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Exame médico, conforme modelo Anexo VIII.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3.2.1</w:t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obtidas junto a tabeliães de nota, na forma do Art. 7º, inciso V, da Lei 8935/94;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hd w:fill="FFFF00" w:val="clear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e os respectivos documentos deverão ser entregues, PESSOALMENTE ou via CORREIOS COM AVISO DE RECEBIMENTO, na Superintendência Regional Campinas I na Avenida Presidente Getúlio Vargas n</w:t>
      </w:r>
      <w:r>
        <w:rPr>
          <w:rFonts w:cs="Calibri"/>
          <w:sz w:val="24"/>
          <w:szCs w:val="24"/>
          <w:vertAlign w:val="superscript"/>
        </w:rPr>
        <w:t>o</w:t>
      </w: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 409, CEP 13140-315, Nova Paulínia – Paulínia/SP.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3º) Data de nascimento mais antiga;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apresentando defesa no mesmo local da inscrição.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22"/>
          <w:szCs w:val="22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09" w:hanging="709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observará: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comparecer à banca para a qual foi convocado, deverá, com antecedência de 2 (dois) dias úteis contados da data da convocação, apresentar justificativa eletrônica ao DETRAN-SP;</w:t>
      </w:r>
      <w:r/>
    </w:p>
    <w:p>
      <w:pPr>
        <w:pStyle w:val="ListParagraph"/>
        <w:numPr>
          <w:ilvl w:val="3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Credenciado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participar de banca de exame por até 30 (trinta) dias, em um período de 12 meses, deverá informar previamente, com antecedência de 7 (sete) dias, ao DETRAN-SP qual o período em que se ausentará;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DETRAN-SP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Valor e forma de pagamento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 pagamento observará o seguinte fluxo: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Unidade referenciada no item 8.2.1. deverá atestar os serviços realizados em 07 (sete) dias e encaminhar para o setor financeiro para pagamento;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Prazos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Penalidades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Advertência por escrito;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Suspensão;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567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b) Descredenciamento.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Disposições gerais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http://www.fazenda.sp.gov.br/ e http://www.dividaativa.pge.sp.gov.br/;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Integram o presente edital: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 - Manual para os Examinadores de Trânsito do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 - Legislação pertinente;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 - Remuneração;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 - Termo de Compromisso;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VIII - Atestado médico;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IX - Fichas de Exames Práticos;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 - Modelo de relatório de exames realizados;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XI - Modelo de recibo de pagamento autônomo.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hd w:fill="FFFF00" w:val="clear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cs="Calibri"/>
          <w:bCs/>
          <w:sz w:val="24"/>
          <w:szCs w:val="24"/>
          <w:shd w:fill="FFFF00" w:val="clear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eastAsia="Times New Roman" w:cs="Calibri" w:ascii="Calibri" w:hAnsi="Calibri"/>
          <w:bCs/>
          <w:color w:val="00000A"/>
          <w:sz w:val="24"/>
          <w:szCs w:val="24"/>
          <w:lang w:val="pt-BR" w:eastAsia="pt-BR" w:bidi="ar-SA"/>
        </w:rPr>
        <w:t xml:space="preserve">DETRAN-SP, </w:t>
      </w:r>
      <w:r>
        <w:rPr>
          <w:rFonts w:eastAsia="Times New Roman" w:cs="Calibri" w:ascii="Calibri" w:hAnsi="Calibri"/>
          <w:bCs/>
          <w:color w:val="00000A"/>
          <w:sz w:val="24"/>
          <w:szCs w:val="24"/>
          <w:lang w:val="pt-BR" w:eastAsia="pt-BR" w:bidi="ar-SA"/>
        </w:rPr>
        <w:t>01 de outubro de 2015.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cs="Calibri"/>
        </w:rPr>
      </w:pPr>
      <w:r>
        <w:rPr>
          <w:rFonts w:cs="Calibri"/>
          <w:bCs/>
          <w:sz w:val="24"/>
          <w:szCs w:val="24"/>
        </w:rPr>
        <w:t>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cs="Calibri"/>
        </w:rPr>
      </w:pPr>
      <w:r>
        <w:rPr>
          <w:rFonts w:cs="Calibri"/>
          <w:b/>
          <w:bCs/>
          <w:sz w:val="24"/>
          <w:szCs w:val="24"/>
        </w:rPr>
        <w:t>DANIEL ANNENBERG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Cs/>
          <w:sz w:val="24"/>
          <w:szCs w:val="24"/>
        </w:rPr>
        <w:t>Diretor Presidente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701" w:right="1701" w:header="709" w:top="1435" w:footer="0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6"/>
        <w:b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lang w:val="pt-BR"/>
      </w:rPr>
      <w:tab/>
    </w:r>
    <w:r>
      <w:rPr>
        <w:rFonts w:cs="Arial" w:ascii="Arial" w:hAnsi="Arial"/>
        <w:b/>
        <w:sz w:val="26"/>
        <w:szCs w:val="26"/>
      </w:rPr>
      <w:t>GOVERNO DO ESTADO DE SÃO PAULO</w:t>
    </w:r>
    <w:r/>
  </w:p>
  <w:p>
    <w:pPr>
      <w:pStyle w:val="Cabealho"/>
      <w:jc w:val="center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>SECRETARIA DE PLANEJAMENTO E GESTÃO</w:t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 xml:space="preserve">                     </w:t>
    </w:r>
    <w:r>
      <w:rPr>
        <w:rFonts w:cs="Arial" w:ascii="Arial" w:hAnsi="Arial"/>
        <w:b/>
        <w:sz w:val="22"/>
        <w:szCs w:val="22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</w:rPr>
      <w:t>SUPERINTENDÊNCIA REGIONAL CAMPINAS I</w:t>
    </w:r>
    <w:r/>
  </w:p>
  <w:p>
    <w:pPr>
      <w:pStyle w:val="Cabealho"/>
      <w:jc w:val="center"/>
      <w:rPr>
        <w:sz w:val="20"/>
        <w:b/>
        <w:sz w:val="20"/>
        <w:b/>
        <w:szCs w:val="20"/>
        <w:rFonts w:ascii="Arial" w:hAnsi="Arial" w:eastAsia="Times New Roman" w:cs="Arial"/>
        <w:color w:val="00000A"/>
        <w:lang w:val="pt-BR" w:eastAsia="pt-BR" w:bidi="ar-SA"/>
      </w:rPr>
    </w:pPr>
    <w:r>
      <w:rPr>
        <w:rFonts w:eastAsia="Times New Roman" w:cs="Arial" w:ascii="Arial" w:hAnsi="Arial"/>
        <w:b/>
        <w:color w:val="00000A"/>
        <w:sz w:val="20"/>
        <w:szCs w:val="20"/>
        <w:lang w:val="pt-BR" w:eastAsia="pt-BR" w:bidi="ar-SA"/>
      </w:rPr>
    </w:r>
    <w:r/>
  </w:p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semiHidden="0" w:unhideWhenUsed="0" w:uiPriority="39" w:name="TOC Heading"/>
  </w:latentStyles>
  <w:style w:type="paragraph" w:styleId="Normal" w:default="1">
    <w:name w:val="Normal"/>
    <w:qFormat/>
    <w:rsid w:val="00627a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27ac3"/>
    <w:pPr>
      <w:keepNext/>
      <w:keepLines/>
      <w:spacing w:lineRule="auto" w:line="240"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Título 2"/>
    <w:basedOn w:val="Normal"/>
    <w:next w:val="Normal"/>
    <w:link w:val="Ttulo2Char"/>
    <w:uiPriority w:val="9"/>
    <w:qFormat/>
    <w:rsid w:val="00627ac3"/>
    <w:pPr>
      <w:keepNext/>
      <w:keepLines/>
      <w:spacing w:lineRule="auto" w:line="240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Título 3"/>
    <w:basedOn w:val="Normal"/>
    <w:next w:val="Normal"/>
    <w:link w:val="Ttulo3Char"/>
    <w:uiPriority w:val="9"/>
    <w:qFormat/>
    <w:rsid w:val="00627ac3"/>
    <w:pPr>
      <w:keepNext/>
      <w:keepLines/>
      <w:spacing w:lineRule="auto" w:line="240"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uiPriority w:val="9"/>
    <w:rsid w:val="00627ac3"/>
    <w:rPr>
      <w:rFonts w:ascii="Cambria" w:hAnsi="Cambria" w:eastAsia="Times New Roman" w:cs="Times New Roman"/>
      <w:b/>
      <w:bCs/>
      <w:color w:val="365F91"/>
      <w:sz w:val="28"/>
      <w:szCs w:val="28"/>
      <w:lang w:eastAsia="pt-BR"/>
    </w:rPr>
  </w:style>
  <w:style w:type="character" w:styleId="Ttulo2Char" w:customStyle="1">
    <w:name w:val="Título 2 Char"/>
    <w:link w:val="Ttulo2"/>
    <w:uiPriority w:val="9"/>
    <w:rsid w:val="00627ac3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Ttulo3Char" w:customStyle="1">
    <w:name w:val="Título 3 Char"/>
    <w:link w:val="Ttulo3"/>
    <w:uiPriority w:val="9"/>
    <w:rsid w:val="00627ac3"/>
    <w:rPr>
      <w:rFonts w:ascii="Cambria" w:hAnsi="Cambria" w:eastAsia="Times New Roman" w:cs="Times New Roman"/>
      <w:b/>
      <w:bCs/>
      <w:color w:val="4F81BD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627ac3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uiPriority w:val="99"/>
    <w:semiHidden/>
    <w:rsid w:val="00627ac3"/>
    <w:rPr>
      <w:rFonts w:ascii="Tahoma" w:hAnsi="Tahoma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rsid w:val="00627ac3"/>
    <w:rPr/>
  </w:style>
  <w:style w:type="character" w:styleId="Nfase">
    <w:name w:val="Ênfase"/>
    <w:uiPriority w:val="20"/>
    <w:qFormat/>
    <w:rsid w:val="00627ac3"/>
    <w:rPr>
      <w:i/>
      <w:iCs/>
    </w:rPr>
  </w:style>
  <w:style w:type="character" w:styleId="CabealhoChar" w:customStyle="1">
    <w:name w:val="Cabeçalho Char"/>
    <w:link w:val="Cabealho"/>
    <w:rsid w:val="00627ac3"/>
    <w:rPr>
      <w:rFonts w:ascii="Calibri" w:hAnsi="Calibri" w:eastAsia="Times New Roman" w:cs="Times New Roman"/>
      <w:lang w:eastAsia="pt-BR"/>
    </w:rPr>
  </w:style>
  <w:style w:type="character" w:styleId="CabealhoChar1" w:customStyle="1">
    <w:name w:val="Cabeçalho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link w:val="Rodap"/>
    <w:uiPriority w:val="99"/>
    <w:rsid w:val="00627ac3"/>
    <w:rPr>
      <w:rFonts w:ascii="Calibri" w:hAnsi="Calibri" w:eastAsia="Times New Roman" w:cs="Times New Roman"/>
      <w:lang w:eastAsia="pt-BR"/>
    </w:rPr>
  </w:style>
  <w:style w:type="character" w:styleId="RodapChar1" w:customStyle="1">
    <w:name w:val="Rodapé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627ac3"/>
    <w:rPr>
      <w:vertAlign w:val="superscript"/>
    </w:rPr>
  </w:style>
  <w:style w:type="character" w:styleId="CorpodetextoChar" w:customStyle="1">
    <w:name w:val="Corpo de texto Char"/>
    <w:link w:val="Corpodetexto"/>
    <w:rsid w:val="00627ac3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xtblack" w:customStyle="1">
    <w:name w:val="txtblack"/>
    <w:basedOn w:val="DefaultParagraphFont"/>
    <w:rsid w:val="00627ac3"/>
    <w:rPr/>
  </w:style>
  <w:style w:type="character" w:styleId="Annotationreference">
    <w:name w:val="annotation reference"/>
    <w:uiPriority w:val="99"/>
    <w:semiHidden/>
    <w:unhideWhenUsed/>
    <w:rsid w:val="00627ac3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link w:val="Assuntodocomentrio"/>
    <w:uiPriority w:val="99"/>
    <w:semiHidden/>
    <w:rsid w:val="00627ac3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uiPriority w:val="22"/>
    <w:qFormat/>
    <w:rsid w:val="00627ac3"/>
    <w:rPr>
      <w:b/>
      <w:bCs/>
    </w:rPr>
  </w:style>
  <w:style w:type="character" w:styleId="Recuodecorpodetexto2Char" w:customStyle="1">
    <w:name w:val="Recuo de corpo de texto 2 Char"/>
    <w:link w:val="Recuodecorpodetexto2"/>
    <w:uiPriority w:val="99"/>
    <w:semiHidden/>
    <w:rsid w:val="00be6c40"/>
    <w:rPr>
      <w:rFonts w:ascii="Calibri" w:hAnsi="Calibri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uiPriority w:val="99"/>
    <w:rsid w:val="004d5b07"/>
    <w:rPr>
      <w:rFonts w:ascii="Calibri" w:hAnsi="Calibri" w:eastAsia="Times New Roman" w:cs="Times New Roman"/>
      <w:lang w:eastAsia="pt-BR"/>
    </w:rPr>
  </w:style>
  <w:style w:type="character" w:styleId="TtuloChar" w:customStyle="1">
    <w:name w:val="Título Char"/>
    <w:link w:val="Ttulo"/>
    <w:rsid w:val="004d5b07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Ppheadlineitem" w:customStyle="1">
    <w:name w:val="pp-headline-item"/>
    <w:basedOn w:val="DefaultParagraphFont"/>
    <w:rsid w:val="00cc7dba"/>
    <w:rPr/>
  </w:style>
  <w:style w:type="character" w:styleId="ListLabel1">
    <w:name w:val="ListLabel 1"/>
    <w:rPr>
      <w:rFonts w:eastAsia="Calibri" w:cs="Calibri"/>
      <w:color w:val="00000A"/>
    </w:rPr>
  </w:style>
  <w:style w:type="character" w:styleId="ListLabel2">
    <w:name w:val="ListLabel 2"/>
    <w:rPr>
      <w:color w:val="00000A"/>
    </w:rPr>
  </w:style>
  <w:style w:type="character" w:styleId="ListLabel3">
    <w:name w:val="ListLabel 3"/>
    <w:rPr>
      <w:color w:val="548DD4"/>
    </w:rPr>
  </w:style>
  <w:style w:type="character" w:styleId="ListLabel4">
    <w:name w:val="ListLabel 4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CorpodetextoChar"/>
    <w:rsid w:val="00627ac3"/>
    <w:pPr>
      <w:spacing w:lineRule="auto" w:line="240" w:before="0" w:after="0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ac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7ac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tulodosumrio">
    <w:name w:val="Título do sumário"/>
    <w:basedOn w:val="Ttulo1"/>
    <w:next w:val="Normal"/>
    <w:uiPriority w:val="39"/>
    <w:qFormat/>
    <w:rsid w:val="00627ac3"/>
    <w:pPr>
      <w:spacing w:lineRule="auto" w:line="276"/>
    </w:pPr>
    <w:rPr/>
  </w:style>
  <w:style w:type="paragraph" w:styleId="Sumrio1">
    <w:name w:val="Sumário 1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</w:pPr>
    <w:rPr/>
  </w:style>
  <w:style w:type="paragraph" w:styleId="Sumrio2">
    <w:name w:val="Sumário 2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220" w:hanging="0"/>
    </w:pPr>
    <w:rPr/>
  </w:style>
  <w:style w:type="paragraph" w:styleId="Sumrio3">
    <w:name w:val="Sumário 3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440" w:hanging="0"/>
    </w:pPr>
    <w:rPr/>
  </w:style>
  <w:style w:type="paragraph" w:styleId="NormalWeb">
    <w:name w:val="Normal (Web)"/>
    <w:basedOn w:val="Normal"/>
    <w:uiPriority w:val="99"/>
    <w:unhideWhenUsed/>
    <w:rsid w:val="00627ac3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">
    <w:name w:val="Cabeçalho"/>
    <w:basedOn w:val="Normal"/>
    <w:link w:val="CabealhoChar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odap">
    <w:name w:val="Rodapé"/>
    <w:basedOn w:val="Normal"/>
    <w:link w:val="RodapChar"/>
    <w:uiPriority w:val="99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evision">
    <w:name w:val="Revision"/>
    <w:uiPriority w:val="99"/>
    <w:semiHidden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27ac3"/>
    <w:pPr>
      <w:spacing w:lineRule="auto" w:line="240" w:before="0" w:after="0"/>
    </w:pPr>
    <w:rPr>
      <w:sz w:val="20"/>
      <w:szCs w:val="20"/>
      <w:lang w:val="x-none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627ac3"/>
    <w:pPr>
      <w:spacing w:lineRule="auto" w:line="480" w:before="0" w:after="120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627ac3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627ac3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be6c40"/>
    <w:pPr>
      <w:spacing w:lineRule="auto" w:line="480" w:before="0" w:after="120"/>
      <w:ind w:left="283" w:hanging="0"/>
    </w:pPr>
    <w:rPr>
      <w:sz w:val="20"/>
      <w:szCs w:val="20"/>
      <w:lang w:val="x-none"/>
    </w:rPr>
  </w:style>
  <w:style w:type="paragraph" w:styleId="Corpodetextorecuado">
    <w:name w:val="Corpo de texto recuado"/>
    <w:basedOn w:val="Normal"/>
    <w:link w:val="RecuodecorpodetextoChar"/>
    <w:uiPriority w:val="99"/>
    <w:unhideWhenUsed/>
    <w:rsid w:val="004d5b07"/>
    <w:pPr>
      <w:spacing w:before="0" w:after="120"/>
      <w:ind w:left="283" w:hanging="0"/>
    </w:pPr>
    <w:rPr>
      <w:sz w:val="20"/>
      <w:szCs w:val="20"/>
      <w:lang w:val="x-none"/>
    </w:rPr>
  </w:style>
  <w:style w:type="paragraph" w:styleId="Ttulododocumento">
    <w:name w:val="Título do documento"/>
    <w:basedOn w:val="Normal"/>
    <w:link w:val="TtuloChar"/>
    <w:qFormat/>
    <w:rsid w:val="004d5b07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  <w:lang w:val="x-none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7a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space="0" w:sz="8" w:color="4F81BD" w:val="single"/>
        <w:bottom w:space="0" w:sz="8" w:color="4F81BD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ran.sp.gov.br/" TargetMode="External"/><Relationship Id="rId3" Type="http://schemas.openxmlformats.org/officeDocument/2006/relationships/hyperlink" Target="http://www.detran.sp.gov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Application>LibreOffice/4.3.4.1$Windows_x86 LibreOffice_project/bc356b2f991740509f321d70e4512a6a54c5f243</Application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2015-08-07T14:33:00Z</dcterms:created>
  <dc:creator>lcmscaff</dc:creator>
  <dc:language>pt-BR</dc:language>
  <cp:lastPrinted>2015-07-23T18:35:00Z</cp:lastPrinted>
  <dcterms:modified xsi:type="dcterms:W3CDTF">2015-09-30T15:04:20Z</dcterms:modified>
  <cp:revision>12</cp:revision>
  <dc:title>Edital de Credenciamento de examinadores de trânsito, conforme arts</dc:title>
</cp:coreProperties>
</file>